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О противодействии преступлениям, совершаемым с использованием современных информационно-коммуникационных технологий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Хищение, совершенное с использованием современных информационно-коммуникационных технологий является общественно опасным деянием, причиняющим значительный имущественный вред гражданам. Наблюдается значительный рост преступлений, связанных с хищением денежных средств у физических и юридических лиц из банков и иных кредитных организаций, совершаемых в виде дистанционного мошенничества.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Злоумышленники используют разные способы обмана людей в интернете от спама до создания сайтов-двойников. Они преследуют цель -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 банковских вкладах, либо путем введения их в заблуждение. При этом зачастую злоумышленники представляются банковскими работниками или представителями правоохранительных органов.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подавляющем большинстве случаев преступники используют следующие основные схемы обмана. Так, злоумышленник звонит или отправляет смс-сообщение на телефон, сообщая что банковская карта или счет мобильного телефона потерпевшего заблокированы в результате преступного посягательства, и затем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преступника.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Может поступить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мошенника.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 В таких случаях важно быть внимательным и не использовать непроверенные сайты, в том числе сайты-двойники.</w:t>
      </w:r>
    </w:p>
    <w:p w14:paraId="07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возникновении подобных ситуаций необходимо оперативно самостоятельно связаться с оператором банка, сотовой связи с целью блокировки карты, номера телефона, отключения услуг и т.д. Данные действия способствуют незамедлительному установлению злоумышленника и предотвращению совершения преступления.</w:t>
      </w:r>
    </w:p>
    <w:p w14:paraId="08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Важно помнить! Ни одна организация, включая банк, не вправе требовать реквизиты Вашей карты включая CVV-код.</w:t>
      </w:r>
    </w:p>
    <w:p w14:paraId="09000000">
      <w:pPr>
        <w:pStyle w:val="Style_1"/>
        <w:ind w:firstLine="709" w:left="0"/>
      </w:pPr>
      <w:r>
        <w:rPr>
          <w:rFonts w:ascii="Times New Roman" w:hAnsi="Times New Roman"/>
          <w:b w:val="0"/>
          <w:i w:val="0"/>
          <w:sz w:val="28"/>
        </w:rPr>
        <w:t>Исключите разговоры с неизвестными лицами по поводу состояния Ваших банковских счетов. При необходимости получить кредит или воспользоваться иными банковскими услугами обращайтесь непосредственно в офисы банковских организаций или пользуйтесь официальными сайтами и приложениями проверенных банков.</w:t>
      </w:r>
      <w:r>
        <w:t xml:space="preserve">    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2025-06-30T08:31:13Z</dcterms:modified>
</cp:coreProperties>
</file>